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143E4AE"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D03AFD" w:rsidRDefault="009A0078" w:rsidP="00F969C4">
      <w:pPr>
        <w:pStyle w:val="Nzev"/>
        <w:jc w:val="left"/>
        <w:rPr>
          <w:color w:val="auto"/>
        </w:rPr>
      </w:pPr>
      <w:r w:rsidRPr="00D03AFD">
        <w:rPr>
          <w:color w:val="auto"/>
        </w:rPr>
        <w:t>Smlouva o dílo č</w:t>
      </w:r>
      <w:r w:rsidR="004E1498" w:rsidRPr="00D03AFD">
        <w:rPr>
          <w:color w:val="auto"/>
        </w:rPr>
        <w:t>.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022E3946" w14:textId="77777777" w:rsidR="00257605" w:rsidRPr="00257605" w:rsidRDefault="004E1498" w:rsidP="00257605">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257605" w:rsidRPr="00257605">
        <w:rPr>
          <w:rFonts w:ascii="Verdana" w:eastAsia="Times New Roman" w:hAnsi="Verdana" w:cs="Times New Roman"/>
          <w:b/>
          <w:lang w:eastAsia="cs-CZ"/>
        </w:rPr>
        <w:t>Správa železniční dopravní cesty, státní organizace</w:t>
      </w:r>
    </w:p>
    <w:p w14:paraId="4257E83A"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 xml:space="preserve">zapsaná v obchodním rejstříku vedeném Městským soudem v Praze pod </w:t>
      </w:r>
      <w:proofErr w:type="spellStart"/>
      <w:r w:rsidRPr="00257605">
        <w:rPr>
          <w:rFonts w:ascii="Verdana" w:eastAsia="Times New Roman" w:hAnsi="Verdana" w:cs="Times New Roman"/>
          <w:lang w:eastAsia="cs-CZ"/>
        </w:rPr>
        <w:t>sp</w:t>
      </w:r>
      <w:proofErr w:type="spellEnd"/>
      <w:r w:rsidRPr="00257605">
        <w:rPr>
          <w:rFonts w:ascii="Verdana" w:eastAsia="Times New Roman" w:hAnsi="Verdana" w:cs="Times New Roman"/>
          <w:lang w:eastAsia="cs-CZ"/>
        </w:rPr>
        <w:t xml:space="preserve">. zn. </w:t>
      </w:r>
      <w:r w:rsidRPr="00257605">
        <w:rPr>
          <w:rFonts w:ascii="Verdana" w:eastAsia="Times New Roman" w:hAnsi="Verdana" w:cs="Times New Roman"/>
          <w:lang w:eastAsia="cs-CZ"/>
        </w:rPr>
        <w:tab/>
      </w:r>
      <w:r w:rsidRPr="00257605">
        <w:rPr>
          <w:rFonts w:ascii="Verdana" w:eastAsia="Times New Roman" w:hAnsi="Verdana" w:cs="Times New Roman"/>
          <w:lang w:eastAsia="cs-CZ"/>
        </w:rPr>
        <w:tab/>
        <w:t>A 48384</w:t>
      </w:r>
    </w:p>
    <w:p w14:paraId="4174E2F2"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Praha 1 - Nové Město, Dlážděná 1003/7, PSČ 110 00</w:t>
      </w:r>
    </w:p>
    <w:p w14:paraId="3C3341A5" w14:textId="77777777" w:rsidR="00257605" w:rsidRPr="00257605" w:rsidRDefault="00257605" w:rsidP="00257605">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IČ 70994234, DIČ CZ70994234</w:t>
      </w:r>
    </w:p>
    <w:p w14:paraId="156A27B8" w14:textId="77777777" w:rsidR="00257605" w:rsidRPr="00257605" w:rsidRDefault="00257605" w:rsidP="00257605">
      <w:pPr>
        <w:overflowPunct w:val="0"/>
        <w:autoSpaceDE w:val="0"/>
        <w:autoSpaceDN w:val="0"/>
        <w:adjustRightInd w:val="0"/>
        <w:spacing w:after="0" w:line="240" w:lineRule="auto"/>
        <w:ind w:right="-87"/>
        <w:textAlignment w:val="baseline"/>
        <w:rPr>
          <w:rFonts w:ascii="Verdana" w:eastAsia="Times New Roman" w:hAnsi="Verdana" w:cs="Times New Roman"/>
          <w:lang w:eastAsia="cs-CZ"/>
        </w:rPr>
      </w:pPr>
      <w:r w:rsidRPr="00257605">
        <w:rPr>
          <w:rFonts w:ascii="Verdana" w:eastAsia="Times New Roman" w:hAnsi="Verdana" w:cs="Times New Roman"/>
          <w:lang w:eastAsia="cs-CZ"/>
        </w:rPr>
        <w:tab/>
      </w:r>
      <w:r w:rsidRPr="00257605">
        <w:rPr>
          <w:rFonts w:ascii="Verdana" w:eastAsia="Times New Roman" w:hAnsi="Verdana" w:cs="Times New Roman"/>
          <w:lang w:eastAsia="cs-CZ"/>
        </w:rPr>
        <w:tab/>
        <w:t>zastoupená Ing. Ladislavem Kašparem, ředitelem Oblastního ředitelství Olomouc</w:t>
      </w:r>
    </w:p>
    <w:p w14:paraId="248269FB" w14:textId="77777777" w:rsidR="00257605" w:rsidRPr="00257605" w:rsidRDefault="00257605" w:rsidP="00257605">
      <w:pPr>
        <w:overflowPunct w:val="0"/>
        <w:autoSpaceDE w:val="0"/>
        <w:autoSpaceDN w:val="0"/>
        <w:adjustRightInd w:val="0"/>
        <w:spacing w:after="0" w:line="240" w:lineRule="auto"/>
        <w:ind w:left="707" w:firstLine="709"/>
        <w:rPr>
          <w:rFonts w:ascii="Verdana" w:eastAsia="Times New Roman" w:hAnsi="Verdana" w:cs="Times New Roman"/>
          <w:b/>
          <w:lang w:eastAsia="cs-CZ"/>
        </w:rPr>
      </w:pPr>
      <w:r w:rsidRPr="00257605">
        <w:rPr>
          <w:rFonts w:ascii="Verdana" w:eastAsia="Verdana" w:hAnsi="Verdana" w:cs="Times New Roman"/>
        </w:rPr>
        <w:t xml:space="preserve">Bankovní spojení: Česká národní banka, č. </w:t>
      </w:r>
      <w:proofErr w:type="spellStart"/>
      <w:r w:rsidRPr="00257605">
        <w:rPr>
          <w:rFonts w:ascii="Verdana" w:eastAsia="Verdana" w:hAnsi="Verdana" w:cs="Times New Roman"/>
        </w:rPr>
        <w:t>ú.</w:t>
      </w:r>
      <w:proofErr w:type="spellEnd"/>
      <w:r w:rsidRPr="00257605">
        <w:rPr>
          <w:rFonts w:ascii="Verdana" w:eastAsia="Verdana" w:hAnsi="Verdana" w:cs="Times New Roman"/>
        </w:rPr>
        <w:t>: 3009-14606011/0710</w:t>
      </w:r>
    </w:p>
    <w:p w14:paraId="3A287523" w14:textId="77777777" w:rsidR="00257605" w:rsidRPr="00257605" w:rsidRDefault="00257605" w:rsidP="00257605">
      <w:pPr>
        <w:overflowPunct w:val="0"/>
        <w:autoSpaceDE w:val="0"/>
        <w:autoSpaceDN w:val="0"/>
        <w:adjustRightInd w:val="0"/>
        <w:spacing w:after="0" w:line="240" w:lineRule="auto"/>
        <w:ind w:firstLine="709"/>
        <w:rPr>
          <w:rFonts w:ascii="Verdana" w:eastAsia="Times New Roman" w:hAnsi="Verdana" w:cs="Times New Roman"/>
          <w:b/>
          <w:lang w:eastAsia="cs-CZ"/>
        </w:rPr>
      </w:pPr>
    </w:p>
    <w:p w14:paraId="3D2286F9" w14:textId="77777777" w:rsidR="00257605" w:rsidRPr="00257605" w:rsidRDefault="00257605" w:rsidP="00257605">
      <w:pPr>
        <w:overflowPunct w:val="0"/>
        <w:autoSpaceDE w:val="0"/>
        <w:autoSpaceDN w:val="0"/>
        <w:adjustRightInd w:val="0"/>
        <w:spacing w:after="0" w:line="240" w:lineRule="auto"/>
        <w:ind w:left="1415" w:firstLine="1"/>
        <w:rPr>
          <w:rFonts w:ascii="Verdana" w:eastAsia="Times New Roman" w:hAnsi="Verdana" w:cs="Times New Roman"/>
          <w:lang w:eastAsia="cs-CZ"/>
        </w:rPr>
      </w:pPr>
      <w:r w:rsidRPr="00257605">
        <w:rPr>
          <w:rFonts w:ascii="Verdana" w:eastAsia="Times New Roman" w:hAnsi="Verdana" w:cs="Times New Roman"/>
          <w:b/>
          <w:lang w:eastAsia="cs-CZ"/>
        </w:rPr>
        <w:t>Kontaktní adresa pro doručování písemností a daňových dokladů</w:t>
      </w:r>
      <w:r w:rsidRPr="00257605">
        <w:rPr>
          <w:rFonts w:ascii="Verdana" w:eastAsia="Times New Roman" w:hAnsi="Verdana" w:cs="Times New Roman"/>
          <w:lang w:eastAsia="cs-CZ"/>
        </w:rPr>
        <w:t>:</w:t>
      </w:r>
    </w:p>
    <w:p w14:paraId="70A0CE54" w14:textId="77777777" w:rsidR="00257605" w:rsidRPr="00257605" w:rsidRDefault="00257605" w:rsidP="00257605">
      <w:pPr>
        <w:overflowPunct w:val="0"/>
        <w:autoSpaceDE w:val="0"/>
        <w:autoSpaceDN w:val="0"/>
        <w:adjustRightInd w:val="0"/>
        <w:spacing w:after="0" w:line="240" w:lineRule="auto"/>
        <w:ind w:left="706" w:firstLine="709"/>
        <w:rPr>
          <w:rFonts w:ascii="Verdana" w:eastAsia="Times New Roman" w:hAnsi="Verdana" w:cs="Times New Roman"/>
          <w:lang w:eastAsia="cs-CZ"/>
        </w:rPr>
      </w:pPr>
      <w:r w:rsidRPr="00257605">
        <w:rPr>
          <w:rFonts w:ascii="Verdana" w:eastAsia="Times New Roman" w:hAnsi="Verdana" w:cs="Times New Roman"/>
          <w:lang w:eastAsia="cs-CZ"/>
        </w:rPr>
        <w:t>Správa železniční dopravní cesty, státní organizace</w:t>
      </w:r>
    </w:p>
    <w:p w14:paraId="64185E7B" w14:textId="77777777" w:rsidR="00257605" w:rsidRPr="00257605" w:rsidRDefault="00257605" w:rsidP="00257605">
      <w:pPr>
        <w:overflowPunct w:val="0"/>
        <w:autoSpaceDE w:val="0"/>
        <w:autoSpaceDN w:val="0"/>
        <w:adjustRightInd w:val="0"/>
        <w:spacing w:after="0" w:line="240" w:lineRule="auto"/>
        <w:ind w:left="706" w:firstLine="709"/>
        <w:rPr>
          <w:rFonts w:ascii="Verdana" w:eastAsia="Times New Roman" w:hAnsi="Verdana" w:cs="Times New Roman"/>
          <w:lang w:eastAsia="cs-CZ"/>
        </w:rPr>
      </w:pPr>
      <w:r w:rsidRPr="00257605">
        <w:rPr>
          <w:rFonts w:ascii="Verdana" w:eastAsia="Times New Roman" w:hAnsi="Verdana" w:cs="Times New Roman"/>
          <w:lang w:eastAsia="cs-CZ"/>
        </w:rPr>
        <w:t>Oblastní ředitelství Olomouc, Nerudova 1, 779 00 Olomouc</w:t>
      </w:r>
    </w:p>
    <w:p w14:paraId="12223576" w14:textId="46F00CF7" w:rsidR="004E1498" w:rsidRPr="004E1498" w:rsidRDefault="004E1498" w:rsidP="00257605">
      <w:pPr>
        <w:overflowPunct w:val="0"/>
        <w:autoSpaceDE w:val="0"/>
        <w:autoSpaceDN w:val="0"/>
        <w:adjustRightInd w:val="0"/>
        <w:spacing w:after="0" w:line="240" w:lineRule="auto"/>
        <w:textAlignment w:val="baseline"/>
        <w:rPr>
          <w:rFonts w:eastAsia="Times New Roman" w:cs="Times New Roman"/>
          <w:lang w:eastAsia="cs-CZ"/>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EF683F">
        <w:rPr>
          <w:rFonts w:eastAsia="Times New Roman" w:cs="Times New Roman"/>
          <w:b/>
          <w:lang w:eastAsia="cs-CZ"/>
        </w:rPr>
        <w:t>Zhotovitel:</w:t>
      </w:r>
      <w:r w:rsidRPr="00EF683F">
        <w:rPr>
          <w:rFonts w:eastAsia="Times New Roman" w:cs="Times New Roman"/>
          <w:lang w:eastAsia="cs-CZ"/>
        </w:rPr>
        <w:tab/>
      </w:r>
      <w:r w:rsidRPr="00257605">
        <w:rPr>
          <w:rFonts w:eastAsia="Times New Roman" w:cs="Times New Roman"/>
          <w:i/>
          <w:highlight w:val="yellow"/>
          <w:lang w:eastAsia="cs-CZ"/>
        </w:rPr>
        <w:t>jméno osoby/název firmy</w:t>
      </w:r>
    </w:p>
    <w:p w14:paraId="19E73E8B"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údaje o zápisu v evidenci</w:t>
      </w:r>
    </w:p>
    <w:p w14:paraId="57570FFE"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Sídlo:</w:t>
      </w:r>
    </w:p>
    <w:p w14:paraId="420D77A3" w14:textId="77777777" w:rsidR="008E1E86" w:rsidRPr="00257605"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t>IČO ……………………, DIČ …………………</w:t>
      </w:r>
    </w:p>
    <w:p w14:paraId="19B3856E" w14:textId="77777777" w:rsidR="008E1E86" w:rsidRPr="0025760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57605">
        <w:rPr>
          <w:rFonts w:eastAsia="Times New Roman" w:cs="Times New Roman"/>
          <w:highlight w:val="yellow"/>
          <w:lang w:eastAsia="cs-CZ"/>
        </w:rPr>
        <w:t>Bankovní spojení:…………………</w:t>
      </w:r>
      <w:proofErr w:type="gramStart"/>
      <w:r w:rsidRPr="00257605">
        <w:rPr>
          <w:rFonts w:eastAsia="Times New Roman" w:cs="Times New Roman"/>
          <w:highlight w:val="yellow"/>
          <w:lang w:eastAsia="cs-CZ"/>
        </w:rPr>
        <w:t>…..</w:t>
      </w:r>
      <w:proofErr w:type="gramEnd"/>
    </w:p>
    <w:p w14:paraId="17127EF1" w14:textId="77777777" w:rsidR="008E1E86" w:rsidRPr="0025760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257605">
        <w:rPr>
          <w:rFonts w:eastAsia="Times New Roman" w:cs="Times New Roman"/>
          <w:highlight w:val="yellow"/>
          <w:lang w:eastAsia="cs-CZ"/>
        </w:rPr>
        <w:t>Číslo účtu:………………………</w:t>
      </w:r>
      <w:proofErr w:type="gramStart"/>
      <w:r w:rsidRPr="00257605">
        <w:rPr>
          <w:rFonts w:eastAsia="Times New Roman" w:cs="Times New Roman"/>
          <w:highlight w:val="yellow"/>
          <w:lang w:eastAsia="cs-CZ"/>
        </w:rPr>
        <w:t>…..</w:t>
      </w:r>
      <w:proofErr w:type="gramEnd"/>
    </w:p>
    <w:p w14:paraId="3B9C9CF2" w14:textId="77777777" w:rsidR="008E1E86" w:rsidRPr="00257605" w:rsidRDefault="008E1E86" w:rsidP="00257605">
      <w:pPr>
        <w:overflowPunct w:val="0"/>
        <w:autoSpaceDE w:val="0"/>
        <w:autoSpaceDN w:val="0"/>
        <w:adjustRightInd w:val="0"/>
        <w:spacing w:line="240" w:lineRule="auto"/>
        <w:textAlignment w:val="baseline"/>
        <w:rPr>
          <w:rFonts w:eastAsia="Times New Roman" w:cs="Times New Roman"/>
          <w:i/>
          <w:highlight w:val="yellow"/>
          <w:lang w:eastAsia="cs-CZ"/>
        </w:rPr>
      </w:pPr>
      <w:r w:rsidRPr="00257605">
        <w:rPr>
          <w:rFonts w:eastAsia="Times New Roman" w:cs="Times New Roman"/>
          <w:highlight w:val="yellow"/>
          <w:lang w:eastAsia="cs-CZ"/>
        </w:rPr>
        <w:tab/>
      </w:r>
      <w:r w:rsidRPr="00257605">
        <w:rPr>
          <w:rFonts w:eastAsia="Times New Roman" w:cs="Times New Roman"/>
          <w:highlight w:val="yellow"/>
          <w:lang w:eastAsia="cs-CZ"/>
        </w:rPr>
        <w:tab/>
      </w:r>
      <w:r w:rsidRPr="00257605">
        <w:rPr>
          <w:rFonts w:eastAsia="Times New Roman" w:cs="Times New Roman"/>
          <w:i/>
          <w:highlight w:val="yellow"/>
          <w:lang w:eastAsia="cs-CZ"/>
        </w:rPr>
        <w:t>údaje o statutárním orgánu nebo jiné oprávněné osobě</w:t>
      </w:r>
    </w:p>
    <w:p w14:paraId="023DCF01" w14:textId="524E09FD" w:rsidR="008E1E86" w:rsidRPr="00257605" w:rsidRDefault="00257605" w:rsidP="008E1E86">
      <w:pPr>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257605">
        <w:rPr>
          <w:rFonts w:ascii="Verdana" w:eastAsia="Times New Roman" w:hAnsi="Verdana" w:cs="Times New Roman"/>
          <w:b/>
          <w:highlight w:val="yellow"/>
          <w:lang w:eastAsia="cs-CZ"/>
        </w:rPr>
        <w:t>Kontaktní adresa pro doručování písemností a daňových dokladů</w:t>
      </w:r>
      <w:r w:rsidRPr="00257605">
        <w:rPr>
          <w:rFonts w:ascii="Verdana" w:eastAsia="Times New Roman" w:hAnsi="Verdana" w:cs="Times New Roman"/>
          <w:highlight w:val="yellow"/>
          <w:lang w:eastAsia="cs-CZ"/>
        </w:rPr>
        <w:t>:</w:t>
      </w:r>
    </w:p>
    <w:p w14:paraId="32F32923" w14:textId="02EF8FAC" w:rsidR="00257605" w:rsidRPr="004E1498" w:rsidRDefault="00257605" w:rsidP="008E1E86">
      <w:pPr>
        <w:overflowPunct w:val="0"/>
        <w:autoSpaceDE w:val="0"/>
        <w:autoSpaceDN w:val="0"/>
        <w:adjustRightInd w:val="0"/>
        <w:spacing w:after="0" w:line="240" w:lineRule="auto"/>
        <w:textAlignment w:val="baseline"/>
        <w:rPr>
          <w:rFonts w:eastAsia="Times New Roman" w:cs="Times New Roman"/>
          <w:i/>
          <w:lang w:eastAsia="cs-CZ"/>
        </w:rPr>
      </w:pPr>
      <w:r w:rsidRPr="00257605">
        <w:rPr>
          <w:rFonts w:ascii="Verdana" w:eastAsia="Times New Roman" w:hAnsi="Verdana" w:cs="Times New Roman"/>
          <w:highlight w:val="yellow"/>
          <w:lang w:eastAsia="cs-CZ"/>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C5DB31E" w:rsidR="004E1498" w:rsidRPr="004E1498" w:rsidRDefault="004E1498" w:rsidP="0025760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90794B" w:rsidRPr="0090794B">
        <w:rPr>
          <w:rFonts w:eastAsia="Times New Roman" w:cs="Times New Roman"/>
          <w:b/>
          <w:lang w:eastAsia="cs-CZ"/>
        </w:rPr>
        <w:t>Oprava trati v úseku Bystřička - Jablůnka</w:t>
      </w:r>
      <w:r w:rsidRPr="002A2FA2">
        <w:rPr>
          <w:rFonts w:eastAsia="Times New Roman" w:cs="Times New Roman"/>
          <w:b/>
          <w:lang w:eastAsia="cs-CZ"/>
        </w:rPr>
        <w:t>“</w:t>
      </w:r>
      <w:r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0D278B" w:rsidRPr="002A2FA2">
        <w:rPr>
          <w:rFonts w:eastAsia="Times New Roman" w:cs="Times New Roman"/>
          <w:lang w:eastAsia="cs-CZ"/>
        </w:rPr>
        <w:t xml:space="preserve"> veřejné zakázky</w:t>
      </w:r>
      <w:r w:rsidR="00EF683F" w:rsidRPr="002A2FA2">
        <w:rPr>
          <w:rFonts w:eastAsia="Times New Roman" w:cs="Times New Roman"/>
          <w:lang w:eastAsia="cs-CZ"/>
        </w:rPr>
        <w:t xml:space="preserve"> </w:t>
      </w:r>
      <w:r w:rsidR="00B24DD8" w:rsidRPr="00B24DD8">
        <w:rPr>
          <w:rFonts w:eastAsia="Times New Roman" w:cs="Times New Roman"/>
          <w:lang w:eastAsia="cs-CZ"/>
        </w:rPr>
        <w:t>22218/2019-SŽDC-OŘ OLC-NPI</w:t>
      </w:r>
      <w:r w:rsidR="000D278B"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Default="004E1498" w:rsidP="00257605">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28516DEC" w14:textId="77777777" w:rsidR="00D03AFD" w:rsidRPr="00D03AFD" w:rsidRDefault="00D03AFD" w:rsidP="00D03AFD">
      <w:pPr>
        <w:rPr>
          <w:lang w:eastAsia="cs-CZ"/>
        </w:rPr>
      </w:pPr>
    </w:p>
    <w:p w14:paraId="4E17D918" w14:textId="173E2991" w:rsidR="004E1498" w:rsidRPr="004E1498" w:rsidRDefault="004E1498" w:rsidP="00257605">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68E68880" w:rsidR="004E1498" w:rsidRPr="00D15E50" w:rsidRDefault="004E1498" w:rsidP="00D03AFD">
      <w:pPr>
        <w:pStyle w:val="Nadpis2"/>
        <w:spacing w:after="120"/>
        <w:ind w:left="578" w:hanging="578"/>
        <w:contextualSpacing w:val="0"/>
      </w:pPr>
      <w:r w:rsidRPr="004E1498">
        <w:t xml:space="preserve">Předmětem díla je </w:t>
      </w:r>
      <w:r w:rsidR="00D03AFD">
        <w:t>z</w:t>
      </w:r>
      <w:r w:rsidR="00D03AFD" w:rsidRPr="00D03AFD">
        <w:t>pracování dokumentace pro stavební povolení (Projekt stavby ve smyslu směrnice GŘ SŽDC č.11/2016 v platné</w:t>
      </w:r>
      <w:bookmarkStart w:id="0" w:name="_GoBack"/>
      <w:bookmarkEnd w:id="0"/>
      <w:r w:rsidR="00D03AFD" w:rsidRPr="00D03AFD">
        <w:t>m znění)</w:t>
      </w:r>
      <w:r w:rsidR="00D87D95" w:rsidRPr="00D15E50">
        <w:t xml:space="preserve">. </w:t>
      </w:r>
    </w:p>
    <w:p w14:paraId="31E5226B" w14:textId="0018F209" w:rsidR="004E1498" w:rsidRDefault="004E1498" w:rsidP="00257605">
      <w:pPr>
        <w:pStyle w:val="Nadpis2"/>
      </w:pPr>
      <w:r w:rsidRPr="00D15E50">
        <w:t>Předmět díla je blíže specifikován v</w:t>
      </w:r>
      <w:r w:rsidR="00D03AFD">
        <w:t> Záměru projektu</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proofErr w:type="gramStart"/>
      <w:r w:rsidR="0086114C" w:rsidRPr="00D15E50">
        <w:t>č</w:t>
      </w:r>
      <w:r w:rsidR="00D87D95" w:rsidRPr="00D15E50">
        <w:t>.</w:t>
      </w:r>
      <w:r w:rsidR="00D03AFD">
        <w:t>5</w:t>
      </w:r>
      <w:r w:rsidR="00D87D95" w:rsidRPr="00D15E50">
        <w:t xml:space="preserve"> </w:t>
      </w:r>
      <w:r w:rsidR="00D03AFD">
        <w:t>výzvy</w:t>
      </w:r>
      <w:proofErr w:type="gramEnd"/>
      <w:r w:rsidRPr="00D15E50">
        <w:t>.</w:t>
      </w:r>
    </w:p>
    <w:p w14:paraId="56F2B539" w14:textId="77777777" w:rsidR="00D03AFD" w:rsidRPr="00D03AFD" w:rsidRDefault="00D03AFD" w:rsidP="00D03AFD">
      <w:pPr>
        <w:rPr>
          <w:lang w:eastAsia="cs-CZ"/>
        </w:rPr>
      </w:pP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77777777" w:rsidR="00810E9B" w:rsidRPr="00257605" w:rsidRDefault="00810E9B" w:rsidP="006A53AC">
      <w:pPr>
        <w:pStyle w:val="Nadpis2"/>
        <w:jc w:val="left"/>
        <w:rPr>
          <w:highlight w:val="yellow"/>
        </w:rPr>
      </w:pPr>
      <w:r w:rsidRPr="006A53AC">
        <w:t xml:space="preserve">Cena bez DPH </w:t>
      </w:r>
      <w:r w:rsidRPr="006A53AC">
        <w:tab/>
      </w:r>
      <w:r w:rsidRPr="006A53AC">
        <w:tab/>
        <w:t xml:space="preserve"> </w:t>
      </w:r>
      <w:r w:rsidRPr="00257605">
        <w:rPr>
          <w:highlight w:val="yellow"/>
        </w:rPr>
        <w:t xml:space="preserve">………………. Kč. </w:t>
      </w:r>
    </w:p>
    <w:p w14:paraId="525B4ED7" w14:textId="77777777" w:rsidR="00810E9B" w:rsidRPr="00257605" w:rsidRDefault="00810E9B" w:rsidP="006A53AC">
      <w:pPr>
        <w:pStyle w:val="Nadpis2"/>
        <w:numPr>
          <w:ilvl w:val="0"/>
          <w:numId w:val="0"/>
        </w:numPr>
        <w:ind w:left="576"/>
        <w:jc w:val="left"/>
        <w:rPr>
          <w:highlight w:val="yellow"/>
        </w:rPr>
      </w:pPr>
      <w:r w:rsidRPr="00257605">
        <w:rPr>
          <w:highlight w:val="yellow"/>
        </w:rPr>
        <w:t xml:space="preserve">Výše DPH 21%     </w:t>
      </w:r>
      <w:r w:rsidRPr="00257605">
        <w:rPr>
          <w:highlight w:val="yellow"/>
        </w:rPr>
        <w:tab/>
        <w:t xml:space="preserve"> ………………. Kč.</w:t>
      </w:r>
    </w:p>
    <w:p w14:paraId="36DF1F7F" w14:textId="28318EB9" w:rsidR="00810E9B" w:rsidRDefault="00810E9B" w:rsidP="00D15E50">
      <w:pPr>
        <w:pStyle w:val="Nadpis2"/>
        <w:numPr>
          <w:ilvl w:val="0"/>
          <w:numId w:val="0"/>
        </w:numPr>
        <w:ind w:left="576"/>
        <w:jc w:val="left"/>
      </w:pPr>
      <w:r w:rsidRPr="00257605">
        <w:rPr>
          <w:highlight w:val="yellow"/>
        </w:rPr>
        <w:t xml:space="preserve">Cena včetně DPH </w:t>
      </w:r>
      <w:r w:rsidRPr="00257605">
        <w:rPr>
          <w:highlight w:val="yellow"/>
        </w:rPr>
        <w:tab/>
        <w:t xml:space="preserve"> ………………. Kč.</w:t>
      </w:r>
    </w:p>
    <w:p w14:paraId="28C81697" w14:textId="7C3A90F5" w:rsidR="00810E9B" w:rsidRPr="006A53AC" w:rsidRDefault="00810E9B" w:rsidP="006A53AC">
      <w:pPr>
        <w:pStyle w:val="Nadpis2"/>
        <w:jc w:val="left"/>
      </w:pPr>
      <w:r w:rsidRPr="006A53AC">
        <w:lastRenderedPageBreak/>
        <w:t xml:space="preserve">Fakturace bude provedena </w:t>
      </w:r>
      <w:r w:rsidR="00D15E50">
        <w:t>po předání Díla a podpisu akceptačního protokolu.</w:t>
      </w:r>
    </w:p>
    <w:p w14:paraId="1F177553" w14:textId="103D0D2D" w:rsidR="00810E9B" w:rsidRPr="006A53AC" w:rsidRDefault="00810E9B" w:rsidP="00D15E50">
      <w:pPr>
        <w:pStyle w:val="Nadpis2"/>
        <w:numPr>
          <w:ilvl w:val="0"/>
          <w:numId w:val="0"/>
        </w:numPr>
        <w:ind w:left="576"/>
        <w:jc w:val="left"/>
      </w:pPr>
    </w:p>
    <w:p w14:paraId="1AFBED57" w14:textId="77777777" w:rsidR="004E1498" w:rsidRPr="00390C86" w:rsidRDefault="004E1498" w:rsidP="00592757">
      <w:pPr>
        <w:pStyle w:val="Nadpis1"/>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2769F4B2" w:rsidR="004E1498" w:rsidRPr="002A2FA2" w:rsidRDefault="004E1498" w:rsidP="00592757">
      <w:pPr>
        <w:pStyle w:val="Nadpis2"/>
        <w:jc w:val="left"/>
      </w:pPr>
      <w:r w:rsidRPr="00390C86">
        <w:t>Místem plnění je</w:t>
      </w:r>
      <w:r w:rsidR="00390C86" w:rsidRPr="00390C86">
        <w:t xml:space="preserve"> pracoviště </w:t>
      </w:r>
      <w:r w:rsidR="00390C86" w:rsidRPr="002A2FA2">
        <w:t xml:space="preserve">OŘ </w:t>
      </w:r>
      <w:r w:rsidR="00257605">
        <w:t>Olomouc</w:t>
      </w:r>
      <w:r w:rsidR="00390C86" w:rsidRPr="002A2FA2">
        <w:t xml:space="preserve">, </w:t>
      </w:r>
      <w:r w:rsidR="00390C86" w:rsidRPr="002A2FA2">
        <w:rPr>
          <w:i/>
        </w:rPr>
        <w:t>adresa</w:t>
      </w:r>
      <w:r w:rsidR="00257605">
        <w:t>: Nerudova 1, 779 00 Olomouc</w:t>
      </w:r>
    </w:p>
    <w:p w14:paraId="4AE0DFE4" w14:textId="3ED2FF1F" w:rsidR="004E1498" w:rsidRPr="00390C86" w:rsidRDefault="004E1498" w:rsidP="00592757">
      <w:pPr>
        <w:pStyle w:val="Nadpis2"/>
        <w:jc w:val="left"/>
      </w:pPr>
      <w:r w:rsidRPr="00390C86">
        <w:t xml:space="preserve">Zhotovitel je povinen provést Dílo nejpozději do </w:t>
      </w:r>
      <w:r w:rsidR="00390C86" w:rsidRPr="00E37841">
        <w:rPr>
          <w:b/>
        </w:rPr>
        <w:t>3</w:t>
      </w:r>
      <w:r w:rsidR="00D03AFD">
        <w:rPr>
          <w:b/>
        </w:rPr>
        <w:t>1</w:t>
      </w:r>
      <w:r w:rsidR="00390C86" w:rsidRPr="00E37841">
        <w:rPr>
          <w:b/>
        </w:rPr>
        <w:t xml:space="preserve">. </w:t>
      </w:r>
      <w:r w:rsidR="00C70189">
        <w:rPr>
          <w:b/>
        </w:rPr>
        <w:t>8</w:t>
      </w:r>
      <w:r w:rsidR="00390C86" w:rsidRPr="00E37841">
        <w:rPr>
          <w:b/>
        </w:rPr>
        <w:t>. 20</w:t>
      </w:r>
      <w:r w:rsidR="00C70189">
        <w:rPr>
          <w:b/>
        </w:rPr>
        <w:t>20</w:t>
      </w:r>
      <w:r w:rsidR="0086114C" w:rsidRPr="00390C86">
        <w:t>.</w:t>
      </w:r>
    </w:p>
    <w:p w14:paraId="381F3847" w14:textId="77777777" w:rsidR="00D03AFD" w:rsidRPr="00D03AFD" w:rsidRDefault="00D03AFD" w:rsidP="00D03AFD">
      <w:pPr>
        <w:rPr>
          <w:lang w:eastAsia="cs-CZ"/>
        </w:rPr>
      </w:pPr>
    </w:p>
    <w:p w14:paraId="38280017" w14:textId="77777777" w:rsidR="004E1498" w:rsidRPr="00390C86" w:rsidRDefault="004E1498" w:rsidP="00592757">
      <w:pPr>
        <w:pStyle w:val="Nadpis1"/>
        <w:rPr>
          <w:rFonts w:eastAsia="Times New Roman"/>
          <w:lang w:eastAsia="cs-CZ"/>
        </w:rPr>
      </w:pPr>
      <w:r w:rsidRPr="00390C86">
        <w:rPr>
          <w:rFonts w:eastAsia="Times New Roman"/>
          <w:lang w:eastAsia="cs-CZ"/>
        </w:rPr>
        <w:t>Záruční doba</w:t>
      </w:r>
    </w:p>
    <w:p w14:paraId="76B099DF" w14:textId="3D8C2179" w:rsidR="004E1498" w:rsidRDefault="004E1498" w:rsidP="006C7697">
      <w:pPr>
        <w:pStyle w:val="Nadpis2"/>
        <w:jc w:val="left"/>
      </w:pPr>
      <w:r w:rsidRPr="004E1498">
        <w:t xml:space="preserve">Záruční doba činí </w:t>
      </w:r>
      <w:r w:rsidR="00C70189" w:rsidRPr="00C70189">
        <w:rPr>
          <w:highlight w:val="yellow"/>
        </w:rPr>
        <w:t>…………měsíců</w:t>
      </w:r>
      <w:r w:rsidR="00C70189" w:rsidRPr="00C70189">
        <w:t>.</w:t>
      </w:r>
    </w:p>
    <w:p w14:paraId="20BEDD34" w14:textId="77777777" w:rsidR="00D03AFD" w:rsidRPr="00D03AFD" w:rsidRDefault="00D03AFD" w:rsidP="00D03AFD">
      <w:pPr>
        <w:rPr>
          <w:lang w:eastAsia="cs-CZ"/>
        </w:rPr>
      </w:pP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25729B1" w:rsidR="004E1498" w:rsidRDefault="004E1498" w:rsidP="00257605">
      <w:pPr>
        <w:pStyle w:val="Nadpis2"/>
      </w:pPr>
      <w:r w:rsidRPr="004E1498">
        <w:t>Na pro</w:t>
      </w:r>
      <w:r w:rsidR="000D278B">
        <w:t>vedení Díla se budou podílet pod</w:t>
      </w:r>
      <w:r w:rsidRPr="004E1498">
        <w:t xml:space="preserve">dodavatelé </w:t>
      </w:r>
      <w:r w:rsidRPr="00BC1A5A">
        <w:t xml:space="preserve">uvedení v příloze </w:t>
      </w:r>
      <w:proofErr w:type="gramStart"/>
      <w:r w:rsidRPr="00BC1A5A">
        <w:t>č</w:t>
      </w:r>
      <w:r w:rsidR="00390C86" w:rsidRPr="00BC1A5A">
        <w:t>.2</w:t>
      </w:r>
      <w:r w:rsidRPr="00BC1A5A">
        <w:t xml:space="preserve"> této</w:t>
      </w:r>
      <w:proofErr w:type="gramEnd"/>
      <w:r w:rsidRPr="00BC1A5A">
        <w:t xml:space="preserve"> smlouvy</w:t>
      </w:r>
      <w:r w:rsidRPr="004E1498">
        <w:t xml:space="preserve">. </w:t>
      </w:r>
    </w:p>
    <w:p w14:paraId="5538CC76" w14:textId="77777777" w:rsidR="00D03AFD" w:rsidRPr="00D03AFD" w:rsidRDefault="00D03AFD" w:rsidP="00D03AFD">
      <w:pPr>
        <w:rPr>
          <w:lang w:eastAsia="cs-CZ"/>
        </w:rPr>
      </w:pPr>
    </w:p>
    <w:p w14:paraId="21F816C5" w14:textId="77777777" w:rsidR="004E1498" w:rsidRPr="006A53AC" w:rsidRDefault="004E1498" w:rsidP="00D03AFD">
      <w:pPr>
        <w:pStyle w:val="Nadpis1"/>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D03AFD">
      <w:pPr>
        <w:pStyle w:val="Nadpis2"/>
        <w:spacing w:after="120"/>
        <w:contextualSpacing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D03AFD">
      <w:pPr>
        <w:pStyle w:val="Nadpis2"/>
        <w:spacing w:after="120"/>
        <w:contextualSpacing w:val="0"/>
      </w:pPr>
      <w:r w:rsidRPr="00BC1A5A">
        <w:t>Kontaktními osobami smluvních stran jsou</w:t>
      </w:r>
    </w:p>
    <w:p w14:paraId="26EC29AD" w14:textId="77777777" w:rsidR="00D03AFD" w:rsidRDefault="004E1498" w:rsidP="00D03AFD">
      <w:pPr>
        <w:pStyle w:val="Nadpis3"/>
        <w:spacing w:after="120"/>
        <w:ind w:hanging="294"/>
        <w:contextualSpacing w:val="0"/>
      </w:pPr>
      <w:r w:rsidRPr="00BC1A5A">
        <w:t xml:space="preserve">za Objednatele </w:t>
      </w:r>
    </w:p>
    <w:p w14:paraId="41C92BC5" w14:textId="6F789AAB" w:rsidR="00D03AFD" w:rsidRDefault="00D03AFD" w:rsidP="00D03AFD">
      <w:pPr>
        <w:spacing w:after="0" w:line="360" w:lineRule="auto"/>
        <w:ind w:left="708" w:firstLine="708"/>
      </w:pPr>
      <w:r>
        <w:t xml:space="preserve">Za ST: </w:t>
      </w:r>
      <w:r>
        <w:tab/>
        <w:t xml:space="preserve">Ing. Zdenko Vrťo, e-mail: </w:t>
      </w:r>
      <w:hyperlink r:id="rId9" w:history="1">
        <w:r w:rsidRPr="00E54097">
          <w:rPr>
            <w:rStyle w:val="Hypertextovodkaz"/>
          </w:rPr>
          <w:t>Vrto@szdc.cz</w:t>
        </w:r>
      </w:hyperlink>
      <w:r>
        <w:t>, mob.: 724 166 379</w:t>
      </w:r>
    </w:p>
    <w:p w14:paraId="5DA10C7E" w14:textId="7F31798D" w:rsidR="00D03AFD" w:rsidRDefault="00D03AFD" w:rsidP="00D03AFD">
      <w:pPr>
        <w:spacing w:after="0" w:line="360" w:lineRule="auto"/>
        <w:ind w:left="708" w:firstLine="708"/>
      </w:pPr>
      <w:r>
        <w:t xml:space="preserve">Za SMT: Ing. Kamil Špaček, e-mail: </w:t>
      </w:r>
      <w:hyperlink r:id="rId10" w:history="1">
        <w:r w:rsidRPr="00E54097">
          <w:rPr>
            <w:rStyle w:val="Hypertextovodkaz"/>
          </w:rPr>
          <w:t>Spacek@szdc.cz</w:t>
        </w:r>
      </w:hyperlink>
      <w:r>
        <w:t>, mob.: 606 720 424</w:t>
      </w:r>
    </w:p>
    <w:p w14:paraId="06691525" w14:textId="25F48892" w:rsidR="00D03AFD" w:rsidRDefault="00D03AFD" w:rsidP="00D03AFD">
      <w:pPr>
        <w:spacing w:after="0" w:line="360" w:lineRule="auto"/>
        <w:ind w:left="708" w:firstLine="708"/>
      </w:pPr>
      <w:r>
        <w:t xml:space="preserve">Za SEE: Ing. Lukáš Zítka, e-mail: </w:t>
      </w:r>
      <w:hyperlink r:id="rId11" w:history="1">
        <w:r w:rsidRPr="00E54097">
          <w:rPr>
            <w:rStyle w:val="Hypertextovodkaz"/>
          </w:rPr>
          <w:t>Zitka@szdc.cz</w:t>
        </w:r>
      </w:hyperlink>
      <w:r>
        <w:t>, mob.: 724 484 939</w:t>
      </w:r>
    </w:p>
    <w:p w14:paraId="085CD7FA" w14:textId="3077DE01" w:rsidR="00D03AFD" w:rsidRDefault="00D03AFD" w:rsidP="00D03AFD">
      <w:pPr>
        <w:spacing w:after="0" w:line="360" w:lineRule="auto"/>
        <w:ind w:left="708" w:firstLine="708"/>
      </w:pPr>
      <w:r>
        <w:t xml:space="preserve">Za SSZT: Ing. František Jachan, e-mail: </w:t>
      </w:r>
      <w:hyperlink r:id="rId12" w:history="1">
        <w:r w:rsidRPr="00E54097">
          <w:rPr>
            <w:rStyle w:val="Hypertextovodkaz"/>
          </w:rPr>
          <w:t>Jachan@szdc.cz</w:t>
        </w:r>
      </w:hyperlink>
      <w:r>
        <w:t>, mob.: 724 248 755</w:t>
      </w:r>
      <w:r>
        <w:tab/>
      </w:r>
    </w:p>
    <w:p w14:paraId="6CD659C0" w14:textId="660631F7" w:rsidR="00D03AFD" w:rsidRDefault="00D03AFD" w:rsidP="00D03AFD">
      <w:pPr>
        <w:spacing w:after="0" w:line="360" w:lineRule="auto"/>
        <w:ind w:left="708" w:firstLine="708"/>
      </w:pPr>
      <w:r>
        <w:t xml:space="preserve">Za SŽG: Ing. Grečnár Jiří, e-mail: </w:t>
      </w:r>
      <w:hyperlink r:id="rId13" w:history="1">
        <w:r w:rsidRPr="00E54097">
          <w:rPr>
            <w:rStyle w:val="Hypertextovodkaz"/>
          </w:rPr>
          <w:t>GrecnarJ@szdc.cz</w:t>
        </w:r>
      </w:hyperlink>
      <w:r>
        <w:t xml:space="preserve">, mob.: 727 983 620 </w:t>
      </w:r>
    </w:p>
    <w:p w14:paraId="1C513CD4" w14:textId="4CC511DB" w:rsidR="004E1498" w:rsidRPr="002A2FA2" w:rsidRDefault="004E1498" w:rsidP="00D03AFD">
      <w:pPr>
        <w:pStyle w:val="Nadpis3"/>
        <w:spacing w:after="120"/>
        <w:ind w:hanging="294"/>
        <w:contextualSpacing w:val="0"/>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7777777" w:rsidR="004E1498" w:rsidRPr="00BC1A5A" w:rsidRDefault="004E1498" w:rsidP="00D03AFD">
      <w:pPr>
        <w:pStyle w:val="Nadpis2"/>
        <w:spacing w:after="120"/>
        <w:contextualSpacing w:val="0"/>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D03AFD">
      <w:pPr>
        <w:pStyle w:val="Nadpis2"/>
        <w:spacing w:after="120"/>
        <w:contextualSpacing w:val="0"/>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D03AFD">
      <w:pPr>
        <w:pStyle w:val="Nadpis2"/>
        <w:spacing w:after="120"/>
        <w:contextualSpacing w:val="0"/>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D03AFD">
      <w:pPr>
        <w:pStyle w:val="Nadpis2"/>
        <w:spacing w:after="120"/>
        <w:contextualSpacing w:val="0"/>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w:t>
      </w:r>
      <w:r w:rsidRPr="00BC1A5A">
        <w:rPr>
          <w:rFonts w:eastAsia="Calibri"/>
        </w:rPr>
        <w:lastRenderedPageBreak/>
        <w:t>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D03AFD">
      <w:pPr>
        <w:pStyle w:val="Nadpis2"/>
        <w:spacing w:after="120"/>
        <w:contextualSpacing w:val="0"/>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4390E296" w14:textId="51003B21" w:rsidR="00D03AFD" w:rsidRDefault="006C7697" w:rsidP="00D03AFD">
      <w:pPr>
        <w:pStyle w:val="Nadpis2"/>
        <w:spacing w:after="120"/>
        <w:contextualSpacing w:val="0"/>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0E95069" w14:textId="77777777" w:rsidR="00D03AFD" w:rsidRPr="00D03AFD" w:rsidRDefault="00D03AFD" w:rsidP="00D03AFD">
      <w:pPr>
        <w:rPr>
          <w:lang w:eastAsia="cs-CZ"/>
        </w:rPr>
      </w:pPr>
    </w:p>
    <w:p w14:paraId="7ACA4F45" w14:textId="77777777" w:rsidR="004E1498" w:rsidRPr="004E1498" w:rsidRDefault="004E1498" w:rsidP="00D03AFD">
      <w:pPr>
        <w:pStyle w:val="Nadpis1"/>
        <w:spacing w:before="0"/>
        <w:rPr>
          <w:rFonts w:eastAsia="Times New Roman"/>
          <w:lang w:eastAsia="cs-CZ"/>
        </w:rPr>
      </w:pPr>
      <w:r w:rsidRPr="004E1498">
        <w:rPr>
          <w:rFonts w:eastAsia="Times New Roman"/>
          <w:lang w:eastAsia="cs-CZ"/>
        </w:rPr>
        <w:t>Závěrečná ujednání</w:t>
      </w:r>
    </w:p>
    <w:p w14:paraId="3E50101D" w14:textId="5000E90F" w:rsidR="004E1498" w:rsidRPr="004E1498" w:rsidRDefault="004E1498" w:rsidP="00D03AFD">
      <w:pPr>
        <w:pStyle w:val="Nadpis2"/>
        <w:spacing w:after="120"/>
        <w:contextualSpacing w:val="0"/>
      </w:pPr>
      <w:r w:rsidRPr="004E1498">
        <w:t xml:space="preserve">Tato smlouva se řídí Obchodními podmínkami ke Smlouvě o </w:t>
      </w:r>
      <w:r w:rsidRPr="002A2FA2">
        <w:t>dílo č</w:t>
      </w:r>
      <w:r w:rsidR="007431E5" w:rsidRPr="002A2FA2">
        <w:t>. …</w:t>
      </w:r>
      <w:r w:rsidR="007431E5" w:rsidRPr="002A2FA2">
        <w:rPr>
          <w:i/>
        </w:rPr>
        <w:t>bude doplněno zadavatelem před podpisem smlouvy</w:t>
      </w:r>
      <w:r w:rsidR="00257605">
        <w:rPr>
          <w:i/>
        </w:rPr>
        <w:t xml:space="preserve"> </w:t>
      </w:r>
      <w:r w:rsidRPr="002A2FA2">
        <w:t>(dále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D03AFD">
      <w:pPr>
        <w:pStyle w:val="Nadpis2"/>
        <w:spacing w:after="120"/>
        <w:contextualSpacing w:val="0"/>
      </w:pPr>
      <w:r w:rsidRPr="004E1498">
        <w:t>Zhotovitel prohlašuje, že</w:t>
      </w:r>
      <w:r w:rsidR="00C74BF6">
        <w:t>:</w:t>
      </w:r>
      <w:r w:rsidRPr="004E1498">
        <w:t xml:space="preserve"> </w:t>
      </w:r>
    </w:p>
    <w:p w14:paraId="7633B164" w14:textId="77777777" w:rsidR="004E1498" w:rsidRPr="004E1498" w:rsidRDefault="004E1498" w:rsidP="00D03AFD">
      <w:pPr>
        <w:pStyle w:val="Nadpis3"/>
        <w:tabs>
          <w:tab w:val="left" w:pos="993"/>
        </w:tabs>
        <w:spacing w:after="120"/>
        <w:ind w:hanging="436"/>
        <w:contextualSpacing w:val="0"/>
      </w:pPr>
      <w:r w:rsidRPr="004E1498">
        <w:t>se zněním Obchodních podmínek se před podpisem této smlouvy seznámil,</w:t>
      </w:r>
    </w:p>
    <w:p w14:paraId="382930A8" w14:textId="77777777" w:rsidR="004E1498" w:rsidRPr="004E1498" w:rsidRDefault="004E1498" w:rsidP="00D03AFD">
      <w:pPr>
        <w:pStyle w:val="Nadpis3"/>
        <w:tabs>
          <w:tab w:val="left" w:pos="993"/>
        </w:tabs>
        <w:spacing w:after="120"/>
        <w:ind w:left="993" w:hanging="709"/>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D03AFD">
      <w:pPr>
        <w:pStyle w:val="Odstavecseseznamem"/>
        <w:numPr>
          <w:ilvl w:val="0"/>
          <w:numId w:val="20"/>
        </w:numPr>
        <w:spacing w:after="120" w:line="240" w:lineRule="auto"/>
        <w:contextualSpacing w:val="0"/>
        <w:jc w:val="both"/>
        <w:rPr>
          <w:rFonts w:eastAsia="Times New Roman" w:cs="Times New Roman"/>
          <w:vanish/>
          <w:lang w:eastAsia="cs-CZ"/>
        </w:rPr>
      </w:pPr>
    </w:p>
    <w:p w14:paraId="3EC5A91C" w14:textId="77777777" w:rsidR="00C74BF6" w:rsidRPr="00C74BF6" w:rsidRDefault="00C74BF6" w:rsidP="00D03AFD">
      <w:pPr>
        <w:pStyle w:val="Odstavecseseznamem"/>
        <w:numPr>
          <w:ilvl w:val="0"/>
          <w:numId w:val="20"/>
        </w:numPr>
        <w:spacing w:after="120" w:line="240" w:lineRule="auto"/>
        <w:contextualSpacing w:val="0"/>
        <w:jc w:val="both"/>
        <w:rPr>
          <w:rFonts w:eastAsia="Times New Roman" w:cs="Times New Roman"/>
          <w:vanish/>
          <w:lang w:eastAsia="cs-CZ"/>
        </w:rPr>
      </w:pPr>
    </w:p>
    <w:p w14:paraId="7C89F548" w14:textId="10D4255D" w:rsidR="006E6E61" w:rsidRPr="006E6E61" w:rsidRDefault="006E6E61" w:rsidP="00D03AFD">
      <w:pPr>
        <w:pStyle w:val="Odstavecseseznamem"/>
        <w:numPr>
          <w:ilvl w:val="1"/>
          <w:numId w:val="20"/>
        </w:numPr>
        <w:spacing w:after="120" w:line="240" w:lineRule="auto"/>
        <w:ind w:left="567" w:hanging="567"/>
        <w:contextualSpacing w:val="0"/>
        <w:jc w:val="both"/>
        <w:rPr>
          <w:rFonts w:eastAsia="Times New Roman" w:cs="Times New Roman"/>
          <w:lang w:eastAsia="cs-CZ"/>
        </w:rPr>
      </w:pPr>
      <w:r w:rsidRPr="006E6E61">
        <w:rPr>
          <w:rFonts w:eastAsia="Times New Roman" w:cs="Times New Roman"/>
          <w:lang w:eastAsia="cs-CZ"/>
        </w:rPr>
        <w:t xml:space="preserve">Tato Smlouva je sepsána ve </w:t>
      </w:r>
      <w:r w:rsidR="00D03AFD">
        <w:rPr>
          <w:rFonts w:eastAsia="Times New Roman" w:cs="Times New Roman"/>
          <w:b/>
          <w:lang w:eastAsia="cs-CZ"/>
        </w:rPr>
        <w:t>čtyřech</w:t>
      </w:r>
      <w:r w:rsidRPr="006E6E61">
        <w:rPr>
          <w:rFonts w:eastAsia="Times New Roman" w:cs="Times New Roman"/>
          <w:lang w:eastAsia="cs-CZ"/>
        </w:rPr>
        <w:t xml:space="preserve"> vyhotoveních, přičemž </w:t>
      </w:r>
      <w:r w:rsidR="00D03AFD">
        <w:rPr>
          <w:rFonts w:eastAsia="Times New Roman" w:cs="Times New Roman"/>
          <w:lang w:eastAsia="cs-CZ"/>
        </w:rPr>
        <w:t>dvě</w:t>
      </w:r>
      <w:r w:rsidRPr="006E6E61">
        <w:rPr>
          <w:rFonts w:eastAsia="Times New Roman" w:cs="Times New Roman"/>
          <w:lang w:eastAsia="cs-CZ"/>
        </w:rPr>
        <w:t xml:space="preserve"> vyhotovení obdrží Zhotovitel a dvě vyhotovení Objednatel.</w:t>
      </w:r>
    </w:p>
    <w:p w14:paraId="6AB23CD3" w14:textId="76C1F71E" w:rsidR="004E1498" w:rsidRPr="004E1498" w:rsidRDefault="004E1498" w:rsidP="00D03AFD">
      <w:pPr>
        <w:pStyle w:val="Nadpis2"/>
        <w:numPr>
          <w:ilvl w:val="1"/>
          <w:numId w:val="20"/>
        </w:numPr>
        <w:spacing w:after="120"/>
        <w:ind w:left="567" w:hanging="567"/>
        <w:contextualSpacing w:val="0"/>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D03AFD">
      <w:pPr>
        <w:pStyle w:val="Nadpis2"/>
        <w:numPr>
          <w:ilvl w:val="1"/>
          <w:numId w:val="20"/>
        </w:numPr>
        <w:spacing w:after="120"/>
        <w:ind w:left="567" w:hanging="567"/>
        <w:contextualSpacing w:val="0"/>
      </w:pPr>
      <w:r w:rsidRPr="004E1498">
        <w:t>Smluvní vztahy neupravené Smlouvou o dílo a Obchodními podmínkami se řídí Občanským zákoníkem a dalšími právními předpisy.</w:t>
      </w:r>
    </w:p>
    <w:p w14:paraId="3654106D" w14:textId="77777777" w:rsidR="004E1498" w:rsidRPr="004E1498" w:rsidRDefault="004E1498" w:rsidP="00D03AFD">
      <w:pPr>
        <w:pStyle w:val="Nadpis2"/>
        <w:numPr>
          <w:ilvl w:val="1"/>
          <w:numId w:val="20"/>
        </w:numPr>
        <w:spacing w:after="120"/>
        <w:ind w:left="567" w:hanging="567"/>
        <w:contextualSpacing w:val="0"/>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D03AFD">
      <w:pPr>
        <w:pStyle w:val="Nadpis2"/>
        <w:numPr>
          <w:ilvl w:val="1"/>
          <w:numId w:val="20"/>
        </w:numPr>
        <w:spacing w:after="120"/>
        <w:ind w:left="567" w:hanging="567"/>
        <w:contextualSpacing w:val="0"/>
      </w:pPr>
      <w:r w:rsidRPr="004E1498">
        <w:t>Smlouvu o dílo lze měnit pouze písemnými dodatky.</w:t>
      </w:r>
    </w:p>
    <w:p w14:paraId="70BEC627" w14:textId="77777777" w:rsidR="004E1498" w:rsidRPr="004E1498" w:rsidRDefault="004E1498" w:rsidP="00D03AFD">
      <w:pPr>
        <w:pStyle w:val="Nadpis2"/>
        <w:numPr>
          <w:ilvl w:val="1"/>
          <w:numId w:val="20"/>
        </w:numPr>
        <w:spacing w:after="120"/>
        <w:ind w:left="567" w:hanging="567"/>
        <w:contextualSpacing w:val="0"/>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D03AFD">
      <w:pPr>
        <w:pStyle w:val="Nadpis2"/>
        <w:numPr>
          <w:ilvl w:val="1"/>
          <w:numId w:val="20"/>
        </w:numPr>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D03AFD">
      <w:pPr>
        <w:pStyle w:val="Nadpis2"/>
        <w:numPr>
          <w:ilvl w:val="1"/>
          <w:numId w:val="20"/>
        </w:numPr>
        <w:spacing w:after="120"/>
        <w:ind w:left="567" w:hanging="567"/>
        <w:contextualSpacing w:val="0"/>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Default="004E1498" w:rsidP="00D03AFD">
      <w:pPr>
        <w:pStyle w:val="Nadpis2"/>
        <w:numPr>
          <w:ilvl w:val="1"/>
          <w:numId w:val="20"/>
        </w:numPr>
        <w:spacing w:after="120"/>
        <w:ind w:left="567" w:hanging="567"/>
        <w:contextualSpacing w:val="0"/>
        <w:rPr>
          <w:rFonts w:eastAsia="Calibri"/>
        </w:rPr>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61BE8371" w14:textId="77777777" w:rsidR="00D03AFD" w:rsidRDefault="00D03AFD" w:rsidP="00D03AFD">
      <w:pPr>
        <w:rPr>
          <w:lang w:eastAsia="cs-CZ"/>
        </w:rPr>
      </w:pPr>
    </w:p>
    <w:p w14:paraId="04991CA4" w14:textId="77777777" w:rsidR="00C70189" w:rsidRDefault="00C70189" w:rsidP="00D03AFD">
      <w:pPr>
        <w:rPr>
          <w:lang w:eastAsia="cs-CZ"/>
        </w:rPr>
      </w:pPr>
    </w:p>
    <w:p w14:paraId="64C561D6" w14:textId="77777777" w:rsidR="00D03AFD" w:rsidRDefault="00D03AFD" w:rsidP="00D03AFD">
      <w:pPr>
        <w:rPr>
          <w:lang w:eastAsia="cs-CZ"/>
        </w:rPr>
      </w:pPr>
    </w:p>
    <w:p w14:paraId="58CDC2F1" w14:textId="5B1042C5" w:rsidR="00D03AFD" w:rsidRDefault="00D03AFD" w:rsidP="00D03AFD">
      <w:pPr>
        <w:pStyle w:val="Nadpis2"/>
        <w:numPr>
          <w:ilvl w:val="1"/>
          <w:numId w:val="20"/>
        </w:numPr>
        <w:spacing w:after="120"/>
        <w:ind w:left="567" w:hanging="567"/>
        <w:contextualSpacing w:val="0"/>
        <w:rPr>
          <w:rFonts w:ascii="Verdana" w:hAnsi="Verdana"/>
          <w:spacing w:val="-2"/>
        </w:rPr>
      </w:pPr>
      <w:r>
        <w:rPr>
          <w:rFonts w:ascii="Verdana" w:hAnsi="Verdana"/>
          <w:spacing w:val="-2"/>
        </w:rPr>
        <w:lastRenderedPageBreak/>
        <w:t>Přílohami této smlouvy, dle dohody smluvních stran přílohami ke každému jednotlivému vyhotovení smlouvy nepřipojenými, jsou tyto dokumenty:</w:t>
      </w:r>
    </w:p>
    <w:p w14:paraId="68BC86AB" w14:textId="39B0A5F7" w:rsidR="00D03AFD" w:rsidRDefault="00D03AFD" w:rsidP="00D03AFD">
      <w:pPr>
        <w:numPr>
          <w:ilvl w:val="0"/>
          <w:numId w:val="28"/>
        </w:numPr>
        <w:suppressAutoHyphens/>
        <w:spacing w:after="120" w:line="240" w:lineRule="auto"/>
        <w:ind w:left="284" w:hanging="284"/>
        <w:jc w:val="both"/>
        <w:rPr>
          <w:rFonts w:ascii="Verdana" w:hAnsi="Verdana"/>
          <w:spacing w:val="-2"/>
        </w:rPr>
      </w:pPr>
      <w:r>
        <w:rPr>
          <w:rFonts w:ascii="Verdana" w:hAnsi="Verdana"/>
          <w:spacing w:val="-2"/>
        </w:rPr>
        <w:t xml:space="preserve"> Výzva vč. zadávací dokumentace (specifikace zadávací dokumentace viz bod č. 1</w:t>
      </w:r>
      <w:r w:rsidR="0090794B">
        <w:rPr>
          <w:rFonts w:ascii="Verdana" w:hAnsi="Verdana"/>
          <w:spacing w:val="-2"/>
        </w:rPr>
        <w:t>4</w:t>
      </w:r>
      <w:r>
        <w:rPr>
          <w:rFonts w:ascii="Verdana" w:hAnsi="Verdana"/>
          <w:spacing w:val="-2"/>
        </w:rPr>
        <w:t>. Přílohy tvořící nedílnou součást výzvy);</w:t>
      </w:r>
    </w:p>
    <w:p w14:paraId="23873646" w14:textId="77777777" w:rsidR="00D03AFD" w:rsidRDefault="00D03AFD" w:rsidP="00D03AFD">
      <w:pPr>
        <w:numPr>
          <w:ilvl w:val="0"/>
          <w:numId w:val="28"/>
        </w:numPr>
        <w:suppressAutoHyphens/>
        <w:spacing w:after="120" w:line="240" w:lineRule="auto"/>
        <w:ind w:left="284" w:hanging="284"/>
        <w:jc w:val="both"/>
        <w:rPr>
          <w:rFonts w:ascii="Verdana" w:hAnsi="Verdana"/>
          <w:spacing w:val="-2"/>
        </w:rPr>
      </w:pPr>
      <w:r>
        <w:rPr>
          <w:rFonts w:ascii="Verdana" w:hAnsi="Verdana"/>
          <w:spacing w:val="-2"/>
        </w:rPr>
        <w:t xml:space="preserve"> Nabídka zhotovitele.</w:t>
      </w:r>
    </w:p>
    <w:p w14:paraId="71AD69DA" w14:textId="513D42EB" w:rsidR="00B24DD8" w:rsidRDefault="00B24DD8" w:rsidP="00B24DD8">
      <w:pPr>
        <w:pStyle w:val="Nadpis2"/>
        <w:numPr>
          <w:ilvl w:val="1"/>
          <w:numId w:val="20"/>
        </w:numPr>
        <w:spacing w:after="120"/>
        <w:ind w:left="567" w:hanging="567"/>
        <w:contextualSpacing w:val="0"/>
        <w:rPr>
          <w:rFonts w:ascii="Verdana" w:hAnsi="Verdana"/>
          <w:spacing w:val="-2"/>
        </w:rPr>
      </w:pPr>
      <w:r>
        <w:rPr>
          <w:rFonts w:ascii="Verdana" w:hAnsi="Verdana"/>
          <w:spacing w:val="-2"/>
        </w:rPr>
        <w:t>Přílohy této smlouvy připojeny:</w:t>
      </w:r>
    </w:p>
    <w:p w14:paraId="363D1002" w14:textId="2B374CD0" w:rsidR="00B24DD8" w:rsidRDefault="00B24DD8" w:rsidP="00B24DD8">
      <w:pPr>
        <w:pStyle w:val="Odstavecseseznamem"/>
        <w:numPr>
          <w:ilvl w:val="0"/>
          <w:numId w:val="28"/>
        </w:numPr>
        <w:rPr>
          <w:lang w:eastAsia="cs-CZ"/>
        </w:rPr>
      </w:pPr>
      <w:r>
        <w:rPr>
          <w:lang w:eastAsia="cs-CZ"/>
        </w:rPr>
        <w:t>Obchodní podmínky</w:t>
      </w:r>
    </w:p>
    <w:p w14:paraId="145F6877" w14:textId="038A8828" w:rsidR="00B24DD8" w:rsidRPr="00B24DD8" w:rsidRDefault="00B24DD8" w:rsidP="00B24DD8">
      <w:pPr>
        <w:pStyle w:val="Odstavecseseznamem"/>
        <w:numPr>
          <w:ilvl w:val="0"/>
          <w:numId w:val="28"/>
        </w:numPr>
        <w:rPr>
          <w:lang w:eastAsia="cs-CZ"/>
        </w:rPr>
      </w:pPr>
      <w:r>
        <w:rPr>
          <w:lang w:eastAsia="cs-CZ"/>
        </w:rPr>
        <w:t>Seznam poddodavatelů</w:t>
      </w:r>
    </w:p>
    <w:p w14:paraId="25BA7577" w14:textId="77777777" w:rsidR="00B24DD8" w:rsidRPr="00B24DD8" w:rsidRDefault="00B24DD8" w:rsidP="00B24DD8">
      <w:pPr>
        <w:rPr>
          <w:lang w:eastAsia="cs-CZ"/>
        </w:rPr>
      </w:pP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026D3E6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V </w:t>
      </w:r>
      <w:r w:rsidR="00257605">
        <w:rPr>
          <w:rFonts w:eastAsia="Times New Roman" w:cs="Times New Roman"/>
          <w:lang w:eastAsia="cs-CZ"/>
        </w:rPr>
        <w:t>Olomouci</w:t>
      </w:r>
      <w:r w:rsidRPr="004E1498">
        <w:rPr>
          <w:rFonts w:eastAsia="Times New Roman" w:cs="Times New Roman"/>
          <w:lang w:eastAsia="cs-CZ"/>
        </w:rPr>
        <w:t xml:space="preserve">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24C2B5E0" w14:textId="77777777" w:rsidR="00B24DD8" w:rsidRDefault="00B24DD8" w:rsidP="00592757">
      <w:pPr>
        <w:overflowPunct w:val="0"/>
        <w:autoSpaceDE w:val="0"/>
        <w:autoSpaceDN w:val="0"/>
        <w:adjustRightInd w:val="0"/>
        <w:spacing w:after="0" w:line="240" w:lineRule="auto"/>
        <w:textAlignment w:val="baseline"/>
        <w:rPr>
          <w:rFonts w:eastAsia="Times New Roman" w:cs="Times New Roman"/>
          <w:b/>
          <w:lang w:eastAsia="cs-CZ"/>
        </w:rPr>
      </w:pPr>
    </w:p>
    <w:p w14:paraId="5CC81895" w14:textId="77777777" w:rsidR="00B24DD8" w:rsidRDefault="00B24DD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4F0CF2DA" w:rsidR="006C7697" w:rsidRDefault="00257605" w:rsidP="006C769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4E1498" w:rsidRPr="0086114C">
        <w:rPr>
          <w:rFonts w:eastAsia="Times New Roman" w:cs="Times New Roman"/>
          <w:b/>
          <w:lang w:eastAsia="cs-CZ"/>
        </w:rPr>
        <w:t xml:space="preserve">Za </w:t>
      </w:r>
      <w:r w:rsidR="004E1498" w:rsidRPr="004E1498">
        <w:rPr>
          <w:rFonts w:eastAsia="Times New Roman" w:cs="Times New Roman"/>
          <w:b/>
          <w:lang w:eastAsia="cs-CZ"/>
        </w:rPr>
        <w:t>Objednatel</w:t>
      </w:r>
      <w:r w:rsidR="00F969C4">
        <w:rPr>
          <w:rFonts w:eastAsia="Times New Roman" w:cs="Times New Roman"/>
          <w:b/>
          <w:lang w:eastAsia="cs-CZ"/>
        </w:rPr>
        <w:t>e</w:t>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86114C">
        <w:rPr>
          <w:rFonts w:eastAsia="Times New Roman" w:cs="Times New Roman"/>
          <w:b/>
          <w:lang w:eastAsia="cs-CZ"/>
        </w:rPr>
        <w:t xml:space="preserve">Za </w:t>
      </w:r>
      <w:r w:rsidR="004E1498" w:rsidRPr="004E1498">
        <w:rPr>
          <w:rFonts w:eastAsia="Times New Roman" w:cs="Times New Roman"/>
          <w:b/>
          <w:lang w:eastAsia="cs-CZ"/>
        </w:rPr>
        <w:t>Zhotovitel</w:t>
      </w:r>
      <w:r w:rsidR="004E1498" w:rsidRPr="0086114C">
        <w:rPr>
          <w:rFonts w:eastAsia="Times New Roman" w:cs="Times New Roman"/>
          <w:b/>
          <w:lang w:eastAsia="cs-CZ"/>
        </w:rPr>
        <w:t>e</w:t>
      </w:r>
    </w:p>
    <w:p w14:paraId="3ECD7BFF" w14:textId="77777777" w:rsidR="00257605" w:rsidRDefault="00257605" w:rsidP="006C7697">
      <w:pPr>
        <w:overflowPunct w:val="0"/>
        <w:autoSpaceDE w:val="0"/>
        <w:autoSpaceDN w:val="0"/>
        <w:adjustRightInd w:val="0"/>
        <w:spacing w:after="0" w:line="240" w:lineRule="auto"/>
        <w:textAlignment w:val="baseline"/>
        <w:rPr>
          <w:rFonts w:eastAsia="Calibri" w:cs="Times New Roman"/>
        </w:rPr>
      </w:pPr>
    </w:p>
    <w:p w14:paraId="35EE86DD" w14:textId="63F8EC64" w:rsidR="006C7697" w:rsidRDefault="00257605" w:rsidP="00257605">
      <w:pPr>
        <w:overflowPunct w:val="0"/>
        <w:autoSpaceDE w:val="0"/>
        <w:autoSpaceDN w:val="0"/>
        <w:adjustRightInd w:val="0"/>
        <w:spacing w:after="0" w:line="240" w:lineRule="auto"/>
        <w:ind w:firstLine="708"/>
        <w:textAlignment w:val="baseline"/>
        <w:rPr>
          <w:rFonts w:eastAsia="Calibri" w:cs="Times New Roman"/>
        </w:rPr>
      </w:pPr>
      <w:r>
        <w:rPr>
          <w:rFonts w:eastAsia="Calibri" w:cs="Times New Roman"/>
        </w:rPr>
        <w:t>Ing. Ladislav Kašpar</w:t>
      </w:r>
    </w:p>
    <w:p w14:paraId="33FF4B4F" w14:textId="5A66EF06" w:rsidR="00257605" w:rsidRDefault="00257605"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w:t>
      </w:r>
      <w:r>
        <w:rPr>
          <w:rFonts w:eastAsia="Calibri" w:cs="Times New Roman"/>
        </w:rPr>
        <w:tab/>
      </w:r>
      <w:r>
        <w:rPr>
          <w:rFonts w:eastAsia="Calibri" w:cs="Times New Roman"/>
        </w:rPr>
        <w:tab/>
        <w:t>Ředitel</w:t>
      </w:r>
    </w:p>
    <w:p w14:paraId="5F91AF3D" w14:textId="39ECA201" w:rsidR="00257605" w:rsidRDefault="00257605" w:rsidP="00257605">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Oblastního ředitelství Olomouc</w:t>
      </w: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sectPr w:rsidR="00DC20C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DA977" w14:textId="77777777" w:rsidR="00A04365" w:rsidRDefault="00A04365" w:rsidP="00962258">
      <w:pPr>
        <w:spacing w:after="0" w:line="240" w:lineRule="auto"/>
      </w:pPr>
      <w:r>
        <w:separator/>
      </w:r>
    </w:p>
  </w:endnote>
  <w:endnote w:type="continuationSeparator" w:id="0">
    <w:p w14:paraId="66772043" w14:textId="77777777" w:rsidR="00A04365" w:rsidRDefault="00A043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DD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DD8">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4D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4DD8">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DE1DB" w14:textId="77777777" w:rsidR="00A04365" w:rsidRDefault="00A04365" w:rsidP="00962258">
      <w:pPr>
        <w:spacing w:after="0" w:line="240" w:lineRule="auto"/>
      </w:pPr>
      <w:r>
        <w:separator/>
      </w:r>
    </w:p>
  </w:footnote>
  <w:footnote w:type="continuationSeparator" w:id="0">
    <w:p w14:paraId="1781960E" w14:textId="77777777" w:rsidR="00A04365" w:rsidRDefault="00A0436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CAA3A38"/>
    <w:multiLevelType w:val="hybridMultilevel"/>
    <w:tmpl w:val="726E796E"/>
    <w:lvl w:ilvl="0" w:tplc="FFFFFFFF">
      <w:start w:val="6"/>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9"/>
  </w:num>
  <w:num w:numId="6">
    <w:abstractNumId w:val="0"/>
  </w:num>
  <w:num w:numId="7">
    <w:abstractNumId w:val="11"/>
  </w:num>
  <w:num w:numId="8">
    <w:abstractNumId w:val="20"/>
  </w:num>
  <w:num w:numId="9">
    <w:abstractNumId w:val="12"/>
  </w:num>
  <w:num w:numId="10">
    <w:abstractNumId w:val="7"/>
  </w:num>
  <w:num w:numId="11">
    <w:abstractNumId w:val="2"/>
  </w:num>
  <w:num w:numId="12">
    <w:abstractNumId w:val="16"/>
  </w:num>
  <w:num w:numId="13">
    <w:abstractNumId w:val="18"/>
  </w:num>
  <w:num w:numId="14">
    <w:abstractNumId w:val="4"/>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6"/>
  </w:num>
  <w:num w:numId="29">
    <w:abstractNumId w:val="8"/>
  </w:num>
  <w:num w:numId="3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A13BC"/>
    <w:rsid w:val="000A3F85"/>
    <w:rsid w:val="000D278B"/>
    <w:rsid w:val="000E23A7"/>
    <w:rsid w:val="0010693F"/>
    <w:rsid w:val="00107E5E"/>
    <w:rsid w:val="00114472"/>
    <w:rsid w:val="0013379C"/>
    <w:rsid w:val="001550BC"/>
    <w:rsid w:val="001605B9"/>
    <w:rsid w:val="00170EC5"/>
    <w:rsid w:val="001747C1"/>
    <w:rsid w:val="00184743"/>
    <w:rsid w:val="001C0FC2"/>
    <w:rsid w:val="001D68A6"/>
    <w:rsid w:val="00207DF5"/>
    <w:rsid w:val="00257605"/>
    <w:rsid w:val="00280E07"/>
    <w:rsid w:val="0029605F"/>
    <w:rsid w:val="002A2FA2"/>
    <w:rsid w:val="002C31BF"/>
    <w:rsid w:val="002D08B1"/>
    <w:rsid w:val="002D7388"/>
    <w:rsid w:val="002E0CD7"/>
    <w:rsid w:val="003013FA"/>
    <w:rsid w:val="003071BD"/>
    <w:rsid w:val="0031554C"/>
    <w:rsid w:val="00341DCF"/>
    <w:rsid w:val="00357BC6"/>
    <w:rsid w:val="00390C86"/>
    <w:rsid w:val="003956C6"/>
    <w:rsid w:val="003A4D59"/>
    <w:rsid w:val="003B39EC"/>
    <w:rsid w:val="003C562E"/>
    <w:rsid w:val="003D703A"/>
    <w:rsid w:val="003F20D8"/>
    <w:rsid w:val="00400212"/>
    <w:rsid w:val="00401303"/>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60AD3"/>
    <w:rsid w:val="00677B7F"/>
    <w:rsid w:val="00691402"/>
    <w:rsid w:val="006A53AC"/>
    <w:rsid w:val="006A5570"/>
    <w:rsid w:val="006A689C"/>
    <w:rsid w:val="006B3D79"/>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4A6E"/>
    <w:rsid w:val="007F56A7"/>
    <w:rsid w:val="00807DD0"/>
    <w:rsid w:val="00810E9B"/>
    <w:rsid w:val="0086114C"/>
    <w:rsid w:val="008659F3"/>
    <w:rsid w:val="00886D4B"/>
    <w:rsid w:val="00895406"/>
    <w:rsid w:val="008A3568"/>
    <w:rsid w:val="008D03B9"/>
    <w:rsid w:val="008E1E86"/>
    <w:rsid w:val="008F18D6"/>
    <w:rsid w:val="008F7DFE"/>
    <w:rsid w:val="00904780"/>
    <w:rsid w:val="0090794B"/>
    <w:rsid w:val="00922385"/>
    <w:rsid w:val="009223DF"/>
    <w:rsid w:val="00936091"/>
    <w:rsid w:val="00940D8A"/>
    <w:rsid w:val="00950C1F"/>
    <w:rsid w:val="00962258"/>
    <w:rsid w:val="009678B7"/>
    <w:rsid w:val="009833E1"/>
    <w:rsid w:val="00992D9C"/>
    <w:rsid w:val="00996CB8"/>
    <w:rsid w:val="009A0078"/>
    <w:rsid w:val="009B14A9"/>
    <w:rsid w:val="009B2E97"/>
    <w:rsid w:val="009E056C"/>
    <w:rsid w:val="009E07F4"/>
    <w:rsid w:val="009F392E"/>
    <w:rsid w:val="00A02EE7"/>
    <w:rsid w:val="00A04365"/>
    <w:rsid w:val="00A6177B"/>
    <w:rsid w:val="00A66136"/>
    <w:rsid w:val="00AA4CBB"/>
    <w:rsid w:val="00AA65FA"/>
    <w:rsid w:val="00AA7351"/>
    <w:rsid w:val="00AB6759"/>
    <w:rsid w:val="00AD056F"/>
    <w:rsid w:val="00AD6731"/>
    <w:rsid w:val="00AF11FA"/>
    <w:rsid w:val="00B15D0D"/>
    <w:rsid w:val="00B24DD8"/>
    <w:rsid w:val="00B27209"/>
    <w:rsid w:val="00B365D2"/>
    <w:rsid w:val="00B445D9"/>
    <w:rsid w:val="00B748DD"/>
    <w:rsid w:val="00B75EE1"/>
    <w:rsid w:val="00B77481"/>
    <w:rsid w:val="00B8518B"/>
    <w:rsid w:val="00BB184D"/>
    <w:rsid w:val="00BC1A5A"/>
    <w:rsid w:val="00BC6818"/>
    <w:rsid w:val="00BD7E91"/>
    <w:rsid w:val="00C02D0A"/>
    <w:rsid w:val="00C03A6E"/>
    <w:rsid w:val="00C44F6A"/>
    <w:rsid w:val="00C47AE3"/>
    <w:rsid w:val="00C70189"/>
    <w:rsid w:val="00C74BF6"/>
    <w:rsid w:val="00C8192F"/>
    <w:rsid w:val="00C84689"/>
    <w:rsid w:val="00CC6991"/>
    <w:rsid w:val="00CD1694"/>
    <w:rsid w:val="00CD1FC4"/>
    <w:rsid w:val="00D03AFD"/>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841"/>
    <w:rsid w:val="00E8027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00537">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882057426">
      <w:bodyDiv w:val="1"/>
      <w:marLeft w:val="0"/>
      <w:marRight w:val="0"/>
      <w:marTop w:val="0"/>
      <w:marBottom w:val="0"/>
      <w:divBdr>
        <w:top w:val="none" w:sz="0" w:space="0" w:color="auto"/>
        <w:left w:val="none" w:sz="0" w:space="0" w:color="auto"/>
        <w:bottom w:val="none" w:sz="0" w:space="0" w:color="auto"/>
        <w:right w:val="none" w:sz="0" w:space="0" w:color="auto"/>
      </w:divBdr>
    </w:div>
    <w:div w:id="114138295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ecnarJ@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chan@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itka@szdc.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Spacek@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Vrto@szdc.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5E54F-2C21-4999-8CE3-9CA154E35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1291</Words>
  <Characters>7622</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12</cp:revision>
  <cp:lastPrinted>2019-05-31T07:44:00Z</cp:lastPrinted>
  <dcterms:created xsi:type="dcterms:W3CDTF">2019-04-18T11:10:00Z</dcterms:created>
  <dcterms:modified xsi:type="dcterms:W3CDTF">2019-09-24T08:00:00Z</dcterms:modified>
</cp:coreProperties>
</file>